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Calibri" w:cs="Calibri" w:eastAsia="Calibri" w:hAnsi="Calibri"/>
          <w:color w:val="434343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white"/>
                <w:rtl w:val="0"/>
              </w:rPr>
              <w:t xml:space="preserve">Researcher with Indigenous Specialty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796874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8"/>
                <w:szCs w:val="28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8"/>
                <w:szCs w:val="28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  <w:t xml:space="preserve">[Organization Name] is a safe and affordable housing project intended to enable Indigenous women and their children who have experienced family violence to work towards personal and economic independence. It provides easy access to a safe, culturally supportive place to help them establish a life free of abuse, learn and gain an understanding of, and sense of pride in their cultural language.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bookmarkStart w:colFirst="0" w:colLast="0" w:name="_l9k8qwco51bk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is a persistent, detail-oriented professional with exceptional writing, research, and project management skills. They possess adaptability, and a genuine curiosity about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mission, working collaboratively to craft compelling and successful grant proposals.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Responsibilities include, but are not limited to: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an extensive literature review.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 a national consultation and focus group with experts on second stage shelters.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provision of individual support and services to clients in their search for housing.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Serve as an advocate on behalf of current and former clients.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clients in making rental applications, financial assistance requests, understanding rental agreements, etc.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 up surveys, monitor, and assess the activities and emotional state of clients and their children during site visits.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comprehensive research on potential funding opportunities from foundations, corporations, and government sources.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write compelling grant proposals, narratives, and applications while integrating each grant's guidelines and eligibility requirements.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various departments to collect relevant data and information necessary for the development of the project.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and up-to-date records of grant applications, including submission dates, funding amounts, and results.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up on submitted proposals and provide stewardship to current donors, including progress reports and compliance as required.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 strategic plan for the project, based on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's strategic plan and operational needs.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 relevant workshops and conferences to stay current with trends in grant writing and funding.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fundraising activities.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related duties as assigned.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9d9d9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with the successful completion of a recognized post-secondary certification (college or university) in a relevant research field.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understanding of Indigenous culture, language, history and socioeconomic conditions is required.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combination of experience and relevant education will be considered.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with Indigenous families.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Previous experience writing and researching grant applications and fundraising an asset.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the principles and practices of non-profit organizations is an advantage.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working Windows Office Suite, general administrative office equipment, and grant management software would be an asset.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research, organizational, and time management skills.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Exceptional writing and editing skills with meticulous attention to detail.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Strong communication skills and the ability to collaborate with a team.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interpret and effectively communicate complex guidelines and regulations.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Meet deadlines and manage multiple tasks while maintaining high-quality work.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determine others needs through active listening skills.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Possesses empathy and consideration for clients.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knowledge of Indigenous history and culture as they relate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’s current mission. 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hours.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hours are generally from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]; Monday to Friday.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Overtime and hours worked outside of the standard work schedule may be required.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right="446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692238" cy="6730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2238" cy="673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